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7F" w:rsidRDefault="0018717F" w:rsidP="0018717F">
      <w:pPr>
        <w:jc w:val="both"/>
      </w:pPr>
    </w:p>
    <w:p w:rsidR="0018717F" w:rsidRDefault="0018717F" w:rsidP="0018717F">
      <w:pPr>
        <w:jc w:val="both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29DF31C" wp14:editId="60846C1C">
                <wp:simplePos x="0" y="0"/>
                <wp:positionH relativeFrom="column">
                  <wp:posOffset>187960</wp:posOffset>
                </wp:positionH>
                <wp:positionV relativeFrom="paragraph">
                  <wp:posOffset>155102</wp:posOffset>
                </wp:positionV>
                <wp:extent cx="5773420" cy="722630"/>
                <wp:effectExtent l="0" t="0" r="0" b="1270"/>
                <wp:wrapNone/>
                <wp:docPr id="22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717F" w:rsidRPr="00C96379" w:rsidRDefault="0018717F" w:rsidP="0018717F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C96379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MAT-41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7</w:t>
                            </w:r>
                            <w:r w:rsidRPr="00C96379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1-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2</w:t>
                            </w:r>
                            <w:r w:rsidRPr="00C96379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18717F" w:rsidRPr="00AE4301" w:rsidRDefault="0018717F" w:rsidP="0018717F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Modélisation algébrique et graphique en contexte fondamental 1</w:t>
                            </w:r>
                          </w:p>
                          <w:p w:rsidR="0018717F" w:rsidRPr="00AE4301" w:rsidRDefault="0018717F" w:rsidP="0018717F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Mathématique, 2</w:t>
                            </w:r>
                            <w:r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  <w:vertAlign w:val="superscript"/>
                              </w:rPr>
                              <w:t xml:space="preserve">e </w:t>
                            </w:r>
                            <w:r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DF31C"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14.8pt;margin-top:12.2pt;width:454.6pt;height:56.9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" filled="f" stroked="f" insetpen="t">
                <v:textbox inset="2.88pt,2.88pt,2.88pt,2.88pt">
                  <w:txbxContent>
                    <w:p w:rsidR="0018717F" w:rsidRPr="00C96379" w:rsidRDefault="0018717F" w:rsidP="0018717F">
                      <w:pPr>
                        <w:widowControl w:val="0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C96379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MAT-41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7</w:t>
                      </w:r>
                      <w:r w:rsidRPr="00C96379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1-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2</w:t>
                      </w:r>
                      <w:r w:rsidRPr="00C96379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18717F" w:rsidRPr="00AE4301" w:rsidRDefault="0018717F" w:rsidP="0018717F">
                      <w:pPr>
                        <w:widowControl w:val="0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 w:rsidRPr="00AE4301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Modélisation algébrique et graphique en contexte fondamental 1</w:t>
                      </w:r>
                    </w:p>
                    <w:p w:rsidR="0018717F" w:rsidRPr="00AE4301" w:rsidRDefault="0018717F" w:rsidP="0018717F">
                      <w:pPr>
                        <w:widowControl w:val="0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 w:rsidRPr="00AE4301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Mathématique, 2</w:t>
                      </w:r>
                      <w:r w:rsidRPr="00AE4301">
                        <w:rPr>
                          <w:rFonts w:ascii="Franklin Gothic Demi" w:hAnsi="Franklin Gothic Demi"/>
                          <w:sz w:val="28"/>
                          <w:szCs w:val="28"/>
                          <w:vertAlign w:val="superscript"/>
                        </w:rPr>
                        <w:t xml:space="preserve">e </w:t>
                      </w:r>
                      <w:r w:rsidRPr="00AE4301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3346070" wp14:editId="1B64829B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0" t="0" r="0" b="0"/>
                <wp:wrapNone/>
                <wp:docPr id="221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56EF" id="Rectangle 498" o:spid="_x0000_s1026" style="position:absolute;margin-left:-17.75pt;margin-top:1.55pt;width:27.35pt;height:76.2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18717F" w:rsidRDefault="0018717F" w:rsidP="0018717F">
      <w:pPr>
        <w:jc w:val="both"/>
      </w:pPr>
    </w:p>
    <w:p w:rsidR="0018717F" w:rsidRDefault="0018717F" w:rsidP="0018717F">
      <w:pPr>
        <w:jc w:val="both"/>
      </w:pPr>
    </w:p>
    <w:p w:rsidR="0018717F" w:rsidRDefault="0018717F" w:rsidP="0018717F">
      <w:pPr>
        <w:jc w:val="both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9F32695" wp14:editId="001C1DC4">
                <wp:simplePos x="0" y="0"/>
                <wp:positionH relativeFrom="column">
                  <wp:posOffset>118110</wp:posOffset>
                </wp:positionH>
                <wp:positionV relativeFrom="paragraph">
                  <wp:posOffset>20732</wp:posOffset>
                </wp:positionV>
                <wp:extent cx="5593080" cy="182880"/>
                <wp:effectExtent l="0" t="0" r="7620" b="7620"/>
                <wp:wrapNone/>
                <wp:docPr id="220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9F85D" id="Rectangle 500" o:spid="_x0000_s1026" style="position:absolute;margin-left:9.3pt;margin-top:1.65pt;width:440.4pt;height:14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18717F" w:rsidRDefault="0018717F" w:rsidP="0018717F">
      <w:pPr>
        <w:jc w:val="both"/>
      </w:pPr>
    </w:p>
    <w:p w:rsidR="0018717F" w:rsidRDefault="0018717F" w:rsidP="0018717F">
      <w:pPr>
        <w:jc w:val="both"/>
      </w:pPr>
    </w:p>
    <w:p w:rsidR="0018717F" w:rsidRDefault="0018717F" w:rsidP="0018717F">
      <w:pPr>
        <w:jc w:val="both"/>
      </w:pPr>
    </w:p>
    <w:p w:rsidR="0018717F" w:rsidRDefault="0018717F" w:rsidP="0018717F">
      <w:pPr>
        <w:jc w:val="both"/>
        <w:rPr>
          <w:rFonts w:ascii="Arial" w:hAnsi="Arial" w:cs="Arial"/>
          <w:sz w:val="36"/>
          <w:szCs w:val="36"/>
        </w:rPr>
      </w:pPr>
    </w:p>
    <w:p w:rsidR="0018717F" w:rsidRDefault="0018717F" w:rsidP="0018717F">
      <w:pPr>
        <w:jc w:val="both"/>
        <w:rPr>
          <w:rFonts w:ascii="Arial" w:hAnsi="Arial" w:cs="Arial"/>
          <w:sz w:val="36"/>
          <w:szCs w:val="36"/>
        </w:rPr>
      </w:pPr>
    </w:p>
    <w:p w:rsidR="0018717F" w:rsidRDefault="0018717F" w:rsidP="0018717F">
      <w:pPr>
        <w:rPr>
          <w:rFonts w:ascii="Franklin Gothic Heavy" w:hAnsi="Franklin Gothic Heavy" w:cs="Arial"/>
          <w:sz w:val="44"/>
          <w:szCs w:val="44"/>
        </w:rPr>
      </w:pPr>
    </w:p>
    <w:p w:rsidR="0018717F" w:rsidRDefault="0018717F" w:rsidP="0018717F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Fonction qui se répète à intervalles réguliers</w:t>
      </w:r>
    </w:p>
    <w:p w:rsidR="0018717F" w:rsidRPr="00B06E1F" w:rsidRDefault="0018717F" w:rsidP="0018717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44"/>
          <w:szCs w:val="44"/>
        </w:rPr>
        <w:t xml:space="preserve"> </w:t>
      </w:r>
      <w:bookmarkStart w:id="0" w:name="_GoBack"/>
      <w:bookmarkEnd w:id="0"/>
    </w:p>
    <w:p w:rsidR="0018717F" w:rsidRDefault="0018717F" w:rsidP="0018717F">
      <w:pPr>
        <w:jc w:val="both"/>
        <w:rPr>
          <w:b/>
          <w:sz w:val="52"/>
          <w:szCs w:val="52"/>
        </w:rPr>
      </w:pPr>
    </w:p>
    <w:p w:rsidR="0018717F" w:rsidRPr="00F47650" w:rsidRDefault="0018717F" w:rsidP="0018717F">
      <w:pPr>
        <w:jc w:val="both"/>
        <w:rPr>
          <w:b/>
          <w:sz w:val="52"/>
          <w:szCs w:val="52"/>
        </w:rPr>
      </w:pPr>
    </w:p>
    <w:p w:rsidR="0018717F" w:rsidRDefault="0018717F" w:rsidP="0018717F">
      <w:pPr>
        <w:rPr>
          <w:rFonts w:ascii="Tahoma" w:hAnsi="Tahoma" w:cs="Tahoma"/>
          <w:b/>
          <w:sz w:val="32"/>
          <w:szCs w:val="32"/>
        </w:rPr>
      </w:pPr>
    </w:p>
    <w:p w:rsidR="0018717F" w:rsidRDefault="0018717F" w:rsidP="0018717F">
      <w:pPr>
        <w:rPr>
          <w:rFonts w:ascii="Tahoma" w:hAnsi="Tahoma" w:cs="Tahoma"/>
          <w:b/>
          <w:sz w:val="32"/>
          <w:szCs w:val="32"/>
        </w:rPr>
      </w:pPr>
    </w:p>
    <w:p w:rsidR="0018717F" w:rsidRDefault="0018717F" w:rsidP="0018717F">
      <w:pPr>
        <w:rPr>
          <w:rFonts w:ascii="Tahoma" w:hAnsi="Tahoma" w:cs="Tahoma"/>
          <w:b/>
          <w:sz w:val="32"/>
          <w:szCs w:val="32"/>
        </w:rPr>
      </w:pPr>
    </w:p>
    <w:p w:rsidR="0018717F" w:rsidRDefault="0018717F" w:rsidP="0018717F">
      <w:pPr>
        <w:rPr>
          <w:noProof/>
        </w:rPr>
      </w:pPr>
    </w:p>
    <w:p w:rsidR="0018717F" w:rsidRDefault="0018717F" w:rsidP="0018717F">
      <w:pPr>
        <w:rPr>
          <w:noProof/>
        </w:rPr>
      </w:pPr>
    </w:p>
    <w:p w:rsidR="0018717F" w:rsidRDefault="0018717F" w:rsidP="0018717F">
      <w:pPr>
        <w:rPr>
          <w:noProof/>
        </w:rPr>
      </w:pPr>
      <w:r>
        <w:rPr>
          <w:noProof/>
        </w:rPr>
        <w:t>Création : Suzie Asselin</w:t>
      </w:r>
    </w:p>
    <w:p w:rsidR="0018717F" w:rsidRDefault="0018717F" w:rsidP="0018717F">
      <w:pPr>
        <w:rPr>
          <w:rFonts w:ascii="Tahoma" w:hAnsi="Tahoma" w:cs="Tahoma"/>
          <w:b/>
          <w:sz w:val="32"/>
          <w:szCs w:val="32"/>
        </w:rPr>
      </w:pPr>
    </w:p>
    <w:p w:rsidR="0018717F" w:rsidRDefault="0018717F" w:rsidP="0018717F">
      <w:pPr>
        <w:jc w:val="both"/>
      </w:pPr>
    </w:p>
    <w:p w:rsidR="000A4D30" w:rsidRPr="0072440B" w:rsidRDefault="000A4D30" w:rsidP="000A4D30">
      <w:pPr>
        <w:shd w:val="clear" w:color="auto" w:fill="99CCFF"/>
        <w:ind w:left="1560" w:hanging="1560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Fonction qui se répète à intervalles réguliers</w:t>
      </w:r>
    </w:p>
    <w:p w:rsidR="000A4D30" w:rsidRPr="001536CD" w:rsidRDefault="000A4D30" w:rsidP="000A4D30">
      <w:pPr>
        <w:jc w:val="both"/>
        <w:rPr>
          <w:rFonts w:ascii="Calibri" w:hAnsi="Calibri" w:cs="Arial"/>
        </w:rPr>
      </w:pPr>
    </w:p>
    <w:p w:rsidR="000A4D30" w:rsidRPr="001536CD" w:rsidRDefault="000A4D30" w:rsidP="000A4D30">
      <w:pPr>
        <w:jc w:val="both"/>
        <w:rPr>
          <w:rFonts w:ascii="Calibri" w:hAnsi="Calibri" w:cs="Arial"/>
        </w:rPr>
      </w:pPr>
      <w:r w:rsidRPr="001536CD">
        <w:rPr>
          <w:rFonts w:ascii="Calibri" w:hAnsi="Calibri" w:cs="Arial"/>
        </w:rPr>
        <w:t>Dans cette capsule, on aborde une stratégie pour faire des calculs à l’aide d’une fonction se répète à intervalles réguliers. Afin d’illustrer nos propos, nous vous transmettrons les info</w:t>
      </w:r>
      <w:r>
        <w:rPr>
          <w:rFonts w:ascii="Calibri" w:hAnsi="Calibri" w:cs="Arial"/>
        </w:rPr>
        <w:t>rmations à travers la résolution du problème suivant</w:t>
      </w:r>
      <w:r w:rsidRPr="001536CD">
        <w:rPr>
          <w:rFonts w:ascii="Calibri" w:hAnsi="Calibri" w:cs="Arial"/>
        </w:rPr>
        <w:t>.</w:t>
      </w:r>
    </w:p>
    <w:p w:rsidR="000A4D30" w:rsidRPr="001536CD" w:rsidRDefault="000A4D30" w:rsidP="000A4D30">
      <w:pPr>
        <w:jc w:val="both"/>
        <w:rPr>
          <w:rFonts w:ascii="Calibri" w:hAnsi="Calibri" w:cs="Arial"/>
        </w:rPr>
      </w:pPr>
    </w:p>
    <w:p w:rsidR="000A4D30" w:rsidRPr="001536CD" w:rsidRDefault="000A4D30" w:rsidP="000A4D30">
      <w:pPr>
        <w:jc w:val="center"/>
        <w:rPr>
          <w:rFonts w:ascii="Calibri" w:hAnsi="Calibri" w:cs="Arial"/>
          <w:b/>
        </w:rPr>
      </w:pPr>
      <w:r w:rsidRPr="001536CD">
        <w:rPr>
          <w:rFonts w:ascii="Calibri" w:hAnsi="Calibri" w:cs="Arial"/>
          <w:b/>
        </w:rPr>
        <w:t>Un dépanneur peu achalandé</w:t>
      </w:r>
    </w:p>
    <w:p w:rsidR="000A4D30" w:rsidRPr="001536CD" w:rsidRDefault="000A4D30" w:rsidP="000A4D30">
      <w:pPr>
        <w:jc w:val="both"/>
        <w:rPr>
          <w:rFonts w:ascii="Calibri" w:hAnsi="Calibri" w:cs="Arial"/>
        </w:rPr>
      </w:pPr>
      <w:r w:rsidRPr="001536CD">
        <w:rPr>
          <w:rFonts w:ascii="Calibri" w:hAnsi="Calibri" w:cs="Arial"/>
        </w:rPr>
        <w:t>Le nombre de clients dans un dépanneur diminue de semaine en semaine à cause de l’ouverture d’un compétiteur à quelques coins de rue de là. Le propriétaire du dépanneur tient le registre du nombre de clients qu’il sert chaque jour. Voici ses données pour les 4 dernières semaines.</w:t>
      </w:r>
    </w:p>
    <w:p w:rsidR="000A4D30" w:rsidRPr="001536CD" w:rsidRDefault="000A4D30" w:rsidP="000A4D30">
      <w:pPr>
        <w:jc w:val="both"/>
        <w:rPr>
          <w:rFonts w:ascii="Calibri" w:hAnsi="Calibri" w:cs="Arial"/>
        </w:rPr>
      </w:pPr>
    </w:p>
    <w:p w:rsidR="000A4D30" w:rsidRPr="001536CD" w:rsidRDefault="000A4D30" w:rsidP="000A4D30">
      <w:pPr>
        <w:jc w:val="center"/>
        <w:rPr>
          <w:rFonts w:ascii="Calibri" w:hAnsi="Calibri" w:cs="Arial"/>
        </w:rPr>
      </w:pPr>
      <w:r w:rsidRPr="001536CD">
        <w:rPr>
          <w:noProof/>
          <w:lang w:eastAsia="fr-CA"/>
        </w:rPr>
        <w:drawing>
          <wp:inline distT="0" distB="0" distL="0" distR="0" wp14:anchorId="43E55B3F" wp14:editId="50EA468B">
            <wp:extent cx="4927600" cy="3920067"/>
            <wp:effectExtent l="0" t="0" r="6350" b="4445"/>
            <wp:docPr id="618" name="Chart 6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4D30" w:rsidRPr="002F2379" w:rsidRDefault="000A4D30" w:rsidP="000A4D30">
      <w:pPr>
        <w:jc w:val="both"/>
        <w:rPr>
          <w:rFonts w:ascii="Calibri" w:hAnsi="Calibri" w:cs="Arial"/>
          <w:b/>
        </w:rPr>
      </w:pPr>
      <w:r w:rsidRPr="002F2379">
        <w:rPr>
          <w:rFonts w:ascii="Calibri" w:hAnsi="Calibri" w:cs="Arial"/>
          <w:b/>
        </w:rPr>
        <w:t>Son commerce fermera au 51</w:t>
      </w:r>
      <w:r w:rsidRPr="002F2379">
        <w:rPr>
          <w:rFonts w:ascii="Calibri" w:hAnsi="Calibri" w:cs="Arial"/>
          <w:b/>
          <w:vertAlign w:val="superscript"/>
        </w:rPr>
        <w:t>ième</w:t>
      </w:r>
      <w:r w:rsidRPr="002F2379">
        <w:rPr>
          <w:rFonts w:ascii="Calibri" w:hAnsi="Calibri" w:cs="Arial"/>
          <w:b/>
        </w:rPr>
        <w:t xml:space="preserve"> jour. </w:t>
      </w:r>
      <w:r>
        <w:rPr>
          <w:rFonts w:ascii="Calibri" w:hAnsi="Calibri" w:cs="Arial"/>
          <w:b/>
        </w:rPr>
        <w:t>Si la tendance observée se maintient, c</w:t>
      </w:r>
      <w:r w:rsidRPr="002F2379">
        <w:rPr>
          <w:rFonts w:ascii="Calibri" w:hAnsi="Calibri" w:cs="Arial"/>
          <w:b/>
        </w:rPr>
        <w:t>ombien recevra-t-il de clients pour la dernière journée d’ouverture de son dépanneur?</w:t>
      </w:r>
    </w:p>
    <w:p w:rsidR="000A4D30" w:rsidRPr="001536CD" w:rsidRDefault="000A4D30" w:rsidP="000A4D30">
      <w:pPr>
        <w:rPr>
          <w:rFonts w:ascii="Calibri" w:hAnsi="Calibri" w:cs="Arial"/>
        </w:rPr>
      </w:pPr>
      <w:r w:rsidRPr="001536CD">
        <w:rPr>
          <w:rFonts w:ascii="Calibri" w:hAnsi="Calibri" w:cs="Arial"/>
        </w:rPr>
        <w:br w:type="page"/>
      </w:r>
    </w:p>
    <w:p w:rsidR="000A4D30" w:rsidRDefault="000A4D30" w:rsidP="000A4D3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Une analyse de la représentation graphique nous permet de constater que la</w:t>
      </w:r>
      <w:r w:rsidRPr="00C07B16">
        <w:rPr>
          <w:rFonts w:ascii="Calibri" w:hAnsi="Calibri" w:cs="Arial"/>
        </w:rPr>
        <w:t xml:space="preserve"> fonction par parties </w:t>
      </w:r>
      <w:r>
        <w:rPr>
          <w:rFonts w:ascii="Calibri" w:hAnsi="Calibri" w:cs="Arial"/>
        </w:rPr>
        <w:t>située dans l’intervalle [0, 6]</w:t>
      </w:r>
      <w:r w:rsidRPr="00C07B16">
        <w:rPr>
          <w:rFonts w:ascii="Calibri" w:hAnsi="Calibri" w:cs="Arial"/>
        </w:rPr>
        <w:t xml:space="preserve"> se répète à toutes les 7 unités sur l’axe des </w:t>
      </w:r>
      <w:r w:rsidRPr="00C07B16">
        <w:rPr>
          <w:rFonts w:ascii="Calibri" w:hAnsi="Calibri" w:cs="Arial"/>
          <w:i/>
        </w:rPr>
        <w:t>x</w:t>
      </w:r>
      <w:r w:rsidRPr="00C07B16">
        <w:rPr>
          <w:rFonts w:ascii="Calibri" w:hAnsi="Calibri" w:cs="Arial"/>
        </w:rPr>
        <w:t xml:space="preserve"> après avoir subi une translation verticale de -55 unités.</w:t>
      </w:r>
    </w:p>
    <w:p w:rsidR="000A4D30" w:rsidRPr="00C07B16" w:rsidRDefault="000A4D30" w:rsidP="000A4D30">
      <w:pPr>
        <w:jc w:val="both"/>
        <w:rPr>
          <w:rFonts w:ascii="Calibri" w:hAnsi="Calibri" w:cs="Arial"/>
        </w:rPr>
      </w:pPr>
    </w:p>
    <w:p w:rsidR="000A4D30" w:rsidRDefault="000A4D30" w:rsidP="000A4D3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Les points qui occupent une position équivalente à celle du 51</w:t>
      </w:r>
      <w:r w:rsidRPr="002A095B">
        <w:rPr>
          <w:rFonts w:ascii="Calibri" w:hAnsi="Calibri" w:cs="Arial"/>
          <w:vertAlign w:val="superscript"/>
        </w:rPr>
        <w:t>ième</w:t>
      </w:r>
      <w:r>
        <w:rPr>
          <w:rFonts w:ascii="Calibri" w:hAnsi="Calibri" w:cs="Arial"/>
        </w:rPr>
        <w:t xml:space="preserve"> jour sont obtenus en reculant d’un nombre complet de cycles de 7 jours. Ce sont les points dont la coordonnée </w:t>
      </w:r>
      <w:r w:rsidRPr="00D57C2E">
        <w:rPr>
          <w:rFonts w:asciiTheme="majorHAnsi" w:hAnsiTheme="majorHAnsi" w:cs="Arial"/>
          <w:i/>
        </w:rPr>
        <w:t>x</w:t>
      </w:r>
      <w:r>
        <w:rPr>
          <w:rFonts w:ascii="Calibri" w:hAnsi="Calibri" w:cs="Arial"/>
        </w:rPr>
        <w:t xml:space="preserve"> vaut : 51, 44, 37, 30, 23, 16, 9 et 2.</w:t>
      </w:r>
      <w:r w:rsidRPr="00D57C2E">
        <w:rPr>
          <w:rFonts w:ascii="Calibri" w:hAnsi="Calibri" w:cs="Arial"/>
        </w:rPr>
        <w:t xml:space="preserve"> </w:t>
      </w:r>
      <w:r w:rsidRPr="00F36B63">
        <w:rPr>
          <w:rFonts w:ascii="Calibri" w:hAnsi="Calibri" w:cs="Arial"/>
        </w:rPr>
        <w:t xml:space="preserve">Traçons une droite qui passe par </w:t>
      </w:r>
      <w:r>
        <w:rPr>
          <w:rFonts w:ascii="Calibri" w:hAnsi="Calibri" w:cs="Arial"/>
        </w:rPr>
        <w:t>tous ces</w:t>
      </w:r>
      <w:r w:rsidRPr="00F36B63">
        <w:rPr>
          <w:rFonts w:ascii="Calibri" w:hAnsi="Calibri" w:cs="Arial"/>
        </w:rPr>
        <w:t xml:space="preserve"> points.</w:t>
      </w:r>
    </w:p>
    <w:p w:rsidR="000A4D30" w:rsidRPr="00F36B63" w:rsidRDefault="000A4D30" w:rsidP="000A4D30">
      <w:pPr>
        <w:spacing w:after="0"/>
        <w:jc w:val="both"/>
        <w:rPr>
          <w:rFonts w:ascii="Calibri" w:hAnsi="Calibri" w:cs="Arial"/>
        </w:rPr>
      </w:pPr>
    </w:p>
    <w:p w:rsidR="000A4D30" w:rsidRPr="000342CE" w:rsidRDefault="000A4D30" w:rsidP="000A4D30">
      <w:pPr>
        <w:tabs>
          <w:tab w:val="left" w:pos="3400"/>
        </w:tabs>
        <w:jc w:val="center"/>
        <w:rPr>
          <w:rFonts w:ascii="Calibri" w:hAnsi="Calibri" w:cs="Arial"/>
        </w:rPr>
      </w:pPr>
      <w:r>
        <w:rPr>
          <w:noProof/>
          <w:lang w:eastAsia="fr-CA"/>
        </w:rPr>
        <w:drawing>
          <wp:inline distT="0" distB="0" distL="0" distR="0" wp14:anchorId="46A12759" wp14:editId="2F6F6DE8">
            <wp:extent cx="5545667" cy="35052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063B" w:rsidRDefault="000A4D30" w:rsidP="000A4D30">
      <w:pPr>
        <w:tabs>
          <w:tab w:val="left" w:pos="3400"/>
          <w:tab w:val="center" w:pos="4680"/>
        </w:tabs>
        <w:jc w:val="both"/>
        <w:rPr>
          <w:rFonts w:ascii="Calibri" w:hAnsi="Calibri" w:cs="Arial"/>
        </w:rPr>
      </w:pPr>
      <w:r w:rsidRPr="00B10318">
        <w:rPr>
          <w:rFonts w:ascii="Calibri" w:hAnsi="Calibri" w:cs="Arial"/>
        </w:rPr>
        <w:t>Cette droite passe par le point (2, 400)</w:t>
      </w:r>
      <w:r>
        <w:rPr>
          <w:rFonts w:ascii="Calibri" w:hAnsi="Calibri" w:cs="Arial"/>
        </w:rPr>
        <w:t xml:space="preserve"> dont les coordonnées sont lues sur le graphique</w:t>
      </w:r>
      <w:r w:rsidRPr="00B10318">
        <w:rPr>
          <w:rFonts w:ascii="Calibri" w:hAnsi="Calibri" w:cs="Arial"/>
        </w:rPr>
        <w:t xml:space="preserve">. En </w:t>
      </w:r>
      <w:r>
        <w:rPr>
          <w:rFonts w:ascii="Calibri" w:hAnsi="Calibri" w:cs="Arial"/>
        </w:rPr>
        <w:t xml:space="preserve">faisant subir une translation horizontale de 7 unités et une translation verticale de -55 unités à ce point, on obtient les coordonnées du point qui occupe une position équivalente dans l’intervalle suivant :    </w:t>
      </w:r>
    </w:p>
    <w:p w:rsidR="000A4D30" w:rsidRPr="002F3E8B" w:rsidRDefault="000A4D30" w:rsidP="000A4D30">
      <w:pPr>
        <w:tabs>
          <w:tab w:val="left" w:pos="3400"/>
          <w:tab w:val="center" w:pos="468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(2+7, 400-55)</w:t>
      </w:r>
      <w:r>
        <w:t> </w:t>
      </w:r>
      <w:r>
        <w:rPr>
          <w:rFonts w:ascii="Calibri" w:hAnsi="Calibri" w:cs="Arial"/>
        </w:rPr>
        <w:t>= (9, 345).</w:t>
      </w:r>
    </w:p>
    <w:p w:rsidR="000A4D30" w:rsidRDefault="000A4D30" w:rsidP="000A4D30">
      <w:pPr>
        <w:tabs>
          <w:tab w:val="left" w:pos="3400"/>
          <w:tab w:val="center" w:pos="4680"/>
        </w:tabs>
        <w:jc w:val="both"/>
        <w:rPr>
          <w:rFonts w:ascii="Calibri" w:hAnsi="Calibri" w:cs="Arial"/>
        </w:rPr>
      </w:pPr>
    </w:p>
    <w:p w:rsidR="000A4D30" w:rsidRPr="00B10318" w:rsidRDefault="000A4D30" w:rsidP="000A4D30">
      <w:pPr>
        <w:tabs>
          <w:tab w:val="left" w:pos="3400"/>
          <w:tab w:val="center" w:pos="468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À l’aide d</w:t>
      </w:r>
      <w:r w:rsidRPr="00B10318">
        <w:rPr>
          <w:rFonts w:ascii="Calibri" w:hAnsi="Calibri" w:cs="Arial"/>
        </w:rPr>
        <w:t>es coordonnées de ces deux points</w:t>
      </w:r>
      <w:r>
        <w:rPr>
          <w:rFonts w:ascii="Calibri" w:hAnsi="Calibri" w:cs="Arial"/>
        </w:rPr>
        <w:t>,</w:t>
      </w:r>
      <w:r w:rsidRPr="00B1031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on détermine le taux de variation de la droite</w:t>
      </w:r>
      <w:r w:rsidRPr="00B10318">
        <w:rPr>
          <w:rFonts w:ascii="Calibri" w:hAnsi="Calibri" w:cs="Arial"/>
        </w:rPr>
        <w:t> :</w:t>
      </w:r>
    </w:p>
    <w:p w:rsidR="000A4D30" w:rsidRDefault="000A4D30" w:rsidP="000A4D30">
      <w:pPr>
        <w:rPr>
          <w:rFonts w:ascii="Calibri" w:eastAsiaTheme="minorEastAsia" w:hAnsi="Calibri" w:cs="Arial"/>
        </w:rPr>
      </w:pPr>
      <m:oMathPara>
        <m:oMath>
          <m:r>
            <w:rPr>
              <w:rFonts w:ascii="Cambria Math" w:eastAsiaTheme="minorEastAsia" w:hAnsi="Cambria Math" w:cs="Arial"/>
            </w:rPr>
            <m:t>a=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345-400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9-2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-55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7</m:t>
              </m:r>
            </m:den>
          </m:f>
          <m:r>
            <w:rPr>
              <w:rFonts w:ascii="Cambria Math" w:eastAsiaTheme="minorEastAsia" w:hAnsi="Cambria Math" w:cs="Arial"/>
            </w:rPr>
            <m:t>≈-7,86</m:t>
          </m:r>
        </m:oMath>
      </m:oMathPara>
    </w:p>
    <w:p w:rsidR="000A4D30" w:rsidRDefault="000A4D30" w:rsidP="000A4D30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0A4D30" w:rsidRPr="00B10318" w:rsidRDefault="000A4D30" w:rsidP="000A4D3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La règle sera de la forme</w:t>
      </w:r>
      <w:r w:rsidRPr="00B10318">
        <w:rPr>
          <w:rFonts w:ascii="Calibri" w:hAnsi="Calibri" w:cs="Arial"/>
        </w:rPr>
        <w:t> :</w:t>
      </w:r>
    </w:p>
    <w:p w:rsidR="000A4D30" w:rsidRPr="00F964A3" w:rsidRDefault="000A4D30" w:rsidP="000A4D30">
      <w:pPr>
        <w:tabs>
          <w:tab w:val="center" w:pos="4680"/>
        </w:tabs>
        <w:spacing w:after="0"/>
        <w:jc w:val="both"/>
        <w:rPr>
          <w:rFonts w:ascii="Calibri" w:eastAsiaTheme="minorEastAsia" w:hAnsi="Calibri" w:cs="Arial"/>
        </w:rPr>
      </w:pPr>
      <m:oMathPara>
        <m:oMath>
          <m:r>
            <w:rPr>
              <w:rFonts w:ascii="Cambria Math" w:hAnsi="Cambria Math" w:cs="Arial"/>
            </w:rPr>
            <m:t>y=ax+b</m:t>
          </m:r>
        </m:oMath>
      </m:oMathPara>
    </w:p>
    <w:p w:rsidR="000A4D30" w:rsidRPr="00B10318" w:rsidRDefault="000A4D30" w:rsidP="000A4D30">
      <w:pPr>
        <w:tabs>
          <w:tab w:val="center" w:pos="4680"/>
        </w:tabs>
        <w:spacing w:after="0"/>
        <w:jc w:val="both"/>
        <w:rPr>
          <w:rFonts w:ascii="Calibri" w:hAnsi="Calibri" w:cs="Arial"/>
        </w:rPr>
      </w:pPr>
      <m:oMathPara>
        <m:oMath>
          <m:r>
            <w:rPr>
              <w:rFonts w:ascii="Cambria Math" w:hAnsi="Cambria Math" w:cs="Arial"/>
            </w:rPr>
            <m:t>y=-7,86x+b</m:t>
          </m:r>
        </m:oMath>
      </m:oMathPara>
    </w:p>
    <w:p w:rsidR="000A4D30" w:rsidRPr="00B10318" w:rsidRDefault="000A4D30" w:rsidP="000A4D30">
      <w:pPr>
        <w:tabs>
          <w:tab w:val="center" w:pos="4680"/>
        </w:tabs>
        <w:spacing w:after="0"/>
        <w:jc w:val="both"/>
        <w:rPr>
          <w:rFonts w:ascii="Calibri" w:hAnsi="Calibri" w:cs="Arial"/>
        </w:rPr>
      </w:pPr>
    </w:p>
    <w:p w:rsidR="000A4D30" w:rsidRPr="00B10318" w:rsidRDefault="000A4D30" w:rsidP="000A4D30">
      <w:pPr>
        <w:tabs>
          <w:tab w:val="left" w:pos="3400"/>
        </w:tabs>
        <w:jc w:val="both"/>
        <w:rPr>
          <w:rFonts w:ascii="Calibri" w:hAnsi="Calibri" w:cs="Arial"/>
        </w:rPr>
      </w:pPr>
      <w:r w:rsidRPr="00B10318">
        <w:rPr>
          <w:rFonts w:ascii="Calibri" w:hAnsi="Calibri" w:cs="Arial"/>
        </w:rPr>
        <w:t xml:space="preserve">La valeur de </w:t>
      </w:r>
      <w:r w:rsidRPr="00B10318">
        <w:rPr>
          <w:rFonts w:ascii="Calibri" w:hAnsi="Calibri" w:cs="Arial"/>
          <w:i/>
        </w:rPr>
        <w:t>b</w:t>
      </w:r>
      <w:r w:rsidRPr="00B10318">
        <w:rPr>
          <w:rFonts w:ascii="Calibri" w:hAnsi="Calibri" w:cs="Arial"/>
        </w:rPr>
        <w:t xml:space="preserve"> s’obtient en substituant </w:t>
      </w:r>
      <w:r>
        <w:rPr>
          <w:rFonts w:ascii="Calibri" w:hAnsi="Calibri" w:cs="Arial"/>
        </w:rPr>
        <w:t>les coordonnées d’un des points dans l’équation</w:t>
      </w:r>
      <w:r w:rsidRPr="00B10318">
        <w:rPr>
          <w:rFonts w:ascii="Calibri" w:hAnsi="Calibri" w:cs="Arial"/>
        </w:rPr>
        <w:t xml:space="preserve">. Avec </w:t>
      </w:r>
      <w:r>
        <w:rPr>
          <w:rFonts w:ascii="Calibri" w:hAnsi="Calibri" w:cs="Arial"/>
        </w:rPr>
        <w:t>le point (2, 400)</w:t>
      </w:r>
      <w:r w:rsidRPr="00B10318">
        <w:rPr>
          <w:rFonts w:ascii="Calibri" w:hAnsi="Calibri" w:cs="Arial"/>
        </w:rPr>
        <w:t>, on obtient :</w:t>
      </w:r>
    </w:p>
    <w:p w:rsidR="000A4D30" w:rsidRPr="00B10318" w:rsidRDefault="000A4D30" w:rsidP="000A4D30">
      <w:pPr>
        <w:spacing w:after="0"/>
        <w:ind w:left="3969"/>
        <w:jc w:val="both"/>
        <w:rPr>
          <w:rFonts w:ascii="Calibri" w:eastAsiaTheme="minorEastAsia" w:hAnsi="Calibr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400=2×-7,86+b</m:t>
          </m:r>
        </m:oMath>
      </m:oMathPara>
    </w:p>
    <w:p w:rsidR="000A4D30" w:rsidRPr="00B10318" w:rsidRDefault="000A4D30" w:rsidP="000A4D30">
      <w:pPr>
        <w:tabs>
          <w:tab w:val="center" w:pos="4680"/>
        </w:tabs>
        <w:spacing w:after="0"/>
        <w:ind w:left="3969"/>
        <w:jc w:val="both"/>
        <w:rPr>
          <w:rFonts w:ascii="Calibri" w:eastAsiaTheme="minorEastAsia" w:hAnsi="Calibr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400=-15,72+b</m:t>
          </m:r>
        </m:oMath>
      </m:oMathPara>
    </w:p>
    <w:p w:rsidR="000A4D30" w:rsidRPr="00B10318" w:rsidRDefault="000A4D30" w:rsidP="000A4D30">
      <w:pPr>
        <w:tabs>
          <w:tab w:val="center" w:pos="4680"/>
        </w:tabs>
        <w:spacing w:after="0"/>
        <w:ind w:left="3686"/>
        <w:jc w:val="both"/>
        <w:rPr>
          <w:rFonts w:ascii="Calibri" w:eastAsiaTheme="minorEastAsia" w:hAnsi="Calibr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415,72=b</m:t>
          </m:r>
        </m:oMath>
      </m:oMathPara>
    </w:p>
    <w:p w:rsidR="000A4D30" w:rsidRPr="00B10318" w:rsidRDefault="000A4D30" w:rsidP="000A4D30">
      <w:pPr>
        <w:tabs>
          <w:tab w:val="center" w:pos="4680"/>
        </w:tabs>
        <w:jc w:val="both"/>
        <w:rPr>
          <w:rFonts w:ascii="Calibri" w:hAnsi="Calibri" w:cs="Arial"/>
        </w:rPr>
      </w:pPr>
    </w:p>
    <w:p w:rsidR="000A4D30" w:rsidRPr="00B10318" w:rsidRDefault="000A4D30" w:rsidP="000A4D30">
      <w:pPr>
        <w:tabs>
          <w:tab w:val="center" w:pos="4680"/>
        </w:tabs>
        <w:jc w:val="both"/>
        <w:rPr>
          <w:rFonts w:ascii="Calibri" w:hAnsi="Calibri" w:cs="Arial"/>
        </w:rPr>
      </w:pPr>
      <w:r w:rsidRPr="00B10318">
        <w:rPr>
          <w:rFonts w:ascii="Calibri" w:hAnsi="Calibri" w:cs="Arial"/>
        </w:rPr>
        <w:t>L’équation de la droite est donc :</w:t>
      </w:r>
    </w:p>
    <w:p w:rsidR="000A4D30" w:rsidRPr="00B10318" w:rsidRDefault="000A4D30" w:rsidP="000A4D30">
      <w:pPr>
        <w:tabs>
          <w:tab w:val="center" w:pos="4680"/>
        </w:tabs>
        <w:jc w:val="both"/>
        <w:rPr>
          <w:rFonts w:ascii="Calibri" w:eastAsiaTheme="minorEastAsia" w:hAnsi="Calibri" w:cs="Arial"/>
        </w:rPr>
      </w:pPr>
      <m:oMathPara>
        <m:oMath>
          <m:r>
            <w:rPr>
              <w:rFonts w:ascii="Cambria Math" w:hAnsi="Cambria Math" w:cs="Arial"/>
            </w:rPr>
            <m:t>y=-7,86x+415,72</m:t>
          </m:r>
        </m:oMath>
      </m:oMathPara>
    </w:p>
    <w:p w:rsidR="000A4D30" w:rsidRPr="00B10318" w:rsidRDefault="000A4D30" w:rsidP="000A4D30">
      <w:pPr>
        <w:tabs>
          <w:tab w:val="center" w:pos="4680"/>
        </w:tabs>
        <w:jc w:val="both"/>
        <w:rPr>
          <w:rFonts w:ascii="Calibri" w:hAnsi="Calibri" w:cs="Arial"/>
        </w:rPr>
      </w:pPr>
    </w:p>
    <w:p w:rsidR="000A4D30" w:rsidRPr="00B10318" w:rsidRDefault="000A4D30" w:rsidP="000A4D30">
      <w:pPr>
        <w:tabs>
          <w:tab w:val="left" w:pos="3400"/>
        </w:tabs>
        <w:jc w:val="both"/>
        <w:rPr>
          <w:rFonts w:ascii="Calibri" w:hAnsi="Calibri" w:cs="Arial"/>
        </w:rPr>
      </w:pPr>
      <w:r w:rsidRPr="00B10318">
        <w:rPr>
          <w:rFonts w:ascii="Calibri" w:hAnsi="Calibri" w:cs="Arial"/>
        </w:rPr>
        <w:t xml:space="preserve">Il ne reste qu’à déterminer la valeur de la fonction à </w:t>
      </w:r>
      <w:r w:rsidRPr="0055360C">
        <w:rPr>
          <w:rFonts w:asciiTheme="majorHAnsi" w:hAnsiTheme="majorHAnsi" w:cs="Arial"/>
          <w:i/>
        </w:rPr>
        <w:t>x</w:t>
      </w:r>
      <w:r w:rsidRPr="00B10318">
        <w:rPr>
          <w:rFonts w:ascii="Calibri" w:hAnsi="Calibri" w:cs="Arial"/>
        </w:rPr>
        <w:t>=51 :</w:t>
      </w:r>
    </w:p>
    <w:p w:rsidR="000A4D30" w:rsidRPr="00B10318" w:rsidRDefault="000A4D30" w:rsidP="000A4D30">
      <w:pPr>
        <w:tabs>
          <w:tab w:val="center" w:pos="4680"/>
        </w:tabs>
        <w:spacing w:after="0"/>
        <w:jc w:val="both"/>
        <w:rPr>
          <w:rFonts w:ascii="Calibri" w:eastAsiaTheme="minorEastAsia" w:hAnsi="Calibri" w:cs="Arial"/>
        </w:rPr>
      </w:pPr>
      <m:oMathPara>
        <m:oMath>
          <m:r>
            <w:rPr>
              <w:rFonts w:ascii="Cambria Math" w:hAnsi="Cambria Math" w:cs="Arial"/>
            </w:rPr>
            <m:t>y=-7,86×51+415,72</m:t>
          </m:r>
        </m:oMath>
      </m:oMathPara>
    </w:p>
    <w:p w:rsidR="000A4D30" w:rsidRPr="00B10318" w:rsidRDefault="000A4D30" w:rsidP="000A4D30">
      <w:pPr>
        <w:tabs>
          <w:tab w:val="center" w:pos="4680"/>
        </w:tabs>
        <w:spacing w:after="0"/>
        <w:jc w:val="both"/>
        <w:rPr>
          <w:rFonts w:ascii="Calibri" w:eastAsiaTheme="minorEastAsia" w:hAnsi="Calibri" w:cs="Arial"/>
        </w:rPr>
      </w:pPr>
      <m:oMathPara>
        <m:oMath>
          <m:r>
            <w:rPr>
              <w:rFonts w:ascii="Cambria Math" w:hAnsi="Cambria Math" w:cs="Arial"/>
            </w:rPr>
            <m:t>y≈14,86</m:t>
          </m:r>
        </m:oMath>
      </m:oMathPara>
    </w:p>
    <w:p w:rsidR="000A4D30" w:rsidRPr="00B10318" w:rsidRDefault="000A4D30" w:rsidP="000A4D30">
      <w:pPr>
        <w:tabs>
          <w:tab w:val="left" w:pos="3400"/>
        </w:tabs>
        <w:jc w:val="both"/>
        <w:rPr>
          <w:rFonts w:ascii="Calibri" w:hAnsi="Calibri" w:cs="Arial"/>
        </w:rPr>
      </w:pPr>
    </w:p>
    <w:p w:rsidR="000A4D30" w:rsidRPr="00A5359A" w:rsidRDefault="000A4D30" w:rsidP="000A4D30">
      <w:pPr>
        <w:tabs>
          <w:tab w:val="left" w:pos="3400"/>
        </w:tabs>
        <w:jc w:val="both"/>
        <w:rPr>
          <w:rFonts w:ascii="Calibri" w:hAnsi="Calibri" w:cs="Arial"/>
          <w:b/>
        </w:rPr>
      </w:pPr>
      <w:r w:rsidRPr="00A5359A">
        <w:rPr>
          <w:rFonts w:ascii="Calibri" w:hAnsi="Calibri" w:cs="Arial"/>
          <w:b/>
        </w:rPr>
        <w:t>Le propriétaire du dépanneur servira seulement 1</w:t>
      </w:r>
      <w:r>
        <w:rPr>
          <w:rFonts w:ascii="Calibri" w:hAnsi="Calibri" w:cs="Arial"/>
          <w:b/>
        </w:rPr>
        <w:t>5</w:t>
      </w:r>
      <w:r w:rsidRPr="00A5359A">
        <w:rPr>
          <w:rFonts w:ascii="Calibri" w:hAnsi="Calibri" w:cs="Arial"/>
          <w:b/>
        </w:rPr>
        <w:t xml:space="preserve"> clients lors de la dernière journée d’ouverture de son commerce.</w:t>
      </w:r>
    </w:p>
    <w:p w:rsidR="00CA2F32" w:rsidRPr="0059244B" w:rsidRDefault="00CA2F32" w:rsidP="00EA6598">
      <w:pPr>
        <w:rPr>
          <w:rFonts w:ascii="Arial" w:hAnsi="Arial" w:cs="Arial"/>
          <w:sz w:val="24"/>
          <w:szCs w:val="24"/>
        </w:rPr>
      </w:pPr>
    </w:p>
    <w:sectPr w:rsidR="00CA2F32" w:rsidRPr="0059244B" w:rsidSect="000A4D30">
      <w:footerReference w:type="default" r:id="rId9"/>
      <w:pgSz w:w="11906" w:h="16838"/>
      <w:pgMar w:top="993" w:right="99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30" w:rsidRDefault="000A4D30" w:rsidP="000A4D30">
      <w:pPr>
        <w:spacing w:after="0" w:line="240" w:lineRule="auto"/>
      </w:pPr>
      <w:r>
        <w:separator/>
      </w:r>
    </w:p>
  </w:endnote>
  <w:endnote w:type="continuationSeparator" w:id="0">
    <w:p w:rsidR="000A4D30" w:rsidRDefault="000A4D30" w:rsidP="000A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397577"/>
      <w:docPartObj>
        <w:docPartGallery w:val="Page Numbers (Bottom of Page)"/>
        <w:docPartUnique/>
      </w:docPartObj>
    </w:sdtPr>
    <w:sdtEndPr/>
    <w:sdtContent>
      <w:p w:rsidR="000A4D30" w:rsidRDefault="000A4D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782" w:rsidRPr="001F2782">
          <w:rPr>
            <w:noProof/>
            <w:lang w:val="fr-FR"/>
          </w:rPr>
          <w:t>2</w:t>
        </w:r>
        <w:r>
          <w:fldChar w:fldCharType="end"/>
        </w:r>
      </w:p>
    </w:sdtContent>
  </w:sdt>
  <w:p w:rsidR="000A4D30" w:rsidRPr="000A4D30" w:rsidRDefault="000A4D30">
    <w:pPr>
      <w:pStyle w:val="Pieddepage"/>
      <w:rPr>
        <w:i/>
      </w:rPr>
    </w:pPr>
    <w:r w:rsidRPr="000A4D30">
      <w:rPr>
        <w:i/>
      </w:rPr>
      <w:t>Création : Suzie Asselin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30" w:rsidRDefault="000A4D30" w:rsidP="000A4D30">
      <w:pPr>
        <w:spacing w:after="0" w:line="240" w:lineRule="auto"/>
      </w:pPr>
      <w:r>
        <w:separator/>
      </w:r>
    </w:p>
  </w:footnote>
  <w:footnote w:type="continuationSeparator" w:id="0">
    <w:p w:rsidR="000A4D30" w:rsidRDefault="000A4D30" w:rsidP="000A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DC8"/>
    <w:multiLevelType w:val="hybridMultilevel"/>
    <w:tmpl w:val="BC4665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A4D30"/>
    <w:rsid w:val="0001723A"/>
    <w:rsid w:val="000A4D30"/>
    <w:rsid w:val="000C3A65"/>
    <w:rsid w:val="0018717F"/>
    <w:rsid w:val="001C2A16"/>
    <w:rsid w:val="001F2782"/>
    <w:rsid w:val="002F3B05"/>
    <w:rsid w:val="003C063B"/>
    <w:rsid w:val="00580000"/>
    <w:rsid w:val="0059244B"/>
    <w:rsid w:val="006F0645"/>
    <w:rsid w:val="007A4B32"/>
    <w:rsid w:val="009306FA"/>
    <w:rsid w:val="00AF32E8"/>
    <w:rsid w:val="00C7513F"/>
    <w:rsid w:val="00CA2F32"/>
    <w:rsid w:val="00E14117"/>
    <w:rsid w:val="00EA6598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  <w14:docId w14:val="6F588E82"/>
  <w15:docId w15:val="{C45A0A95-3E90-4E26-BBE2-5F548A22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FF0000"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FF00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A4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D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A4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D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871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zie\Desktop\Alexandrie\MAT-4171\MAT-4171%20Lynx%20et%20li&#232;vres%20-%20T&#226;che%202%20(24%20avril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uzie\Desktop\Alexandrie\MAT-4171\MAT-4171%20Lynx%20et%20li&#232;vres%20-%20T&#226;che%202%20(22%20juin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Nombre de clients dans un dépanneur selon les jours 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circle"/>
            <c:size val="2"/>
            <c:spPr>
              <a:noFill/>
              <a:ln>
                <a:noFill/>
              </a:ln>
            </c:spPr>
          </c:marker>
          <c:xVal>
            <c:numRef>
              <c:f>'Capsule 2'!$A$1:$A$7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'Capsule 2'!$B$1:$B$7</c:f>
              <c:numCache>
                <c:formatCode>General</c:formatCode>
                <c:ptCount val="7"/>
                <c:pt idx="0">
                  <c:v>420</c:v>
                </c:pt>
                <c:pt idx="1">
                  <c:v>410</c:v>
                </c:pt>
                <c:pt idx="2">
                  <c:v>400</c:v>
                </c:pt>
                <c:pt idx="3">
                  <c:v>390</c:v>
                </c:pt>
                <c:pt idx="4">
                  <c:v>380</c:v>
                </c:pt>
                <c:pt idx="5">
                  <c:v>370</c:v>
                </c:pt>
                <c:pt idx="6">
                  <c:v>395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670-4FBA-954A-9EE196C54DC7}"/>
            </c:ext>
          </c:extLst>
        </c:ser>
        <c:ser>
          <c:idx val="1"/>
          <c:order val="1"/>
          <c:tx>
            <c:v>série 2</c:v>
          </c:tx>
          <c:spPr>
            <a:ln>
              <a:solidFill>
                <a:schemeClr val="tx1"/>
              </a:solidFill>
            </a:ln>
          </c:spPr>
          <c:marker>
            <c:symbol val="circle"/>
            <c:size val="2"/>
            <c:spPr>
              <a:noFill/>
              <a:ln>
                <a:noFill/>
              </a:ln>
            </c:spPr>
          </c:marker>
          <c:xVal>
            <c:numRef>
              <c:f>'Capsule 2'!$A$8:$A$14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13</c:v>
                </c:pt>
              </c:numCache>
            </c:numRef>
          </c:xVal>
          <c:yVal>
            <c:numRef>
              <c:f>'Capsule 2'!$B$8:$B$14</c:f>
              <c:numCache>
                <c:formatCode>General</c:formatCode>
                <c:ptCount val="7"/>
                <c:pt idx="0">
                  <c:v>365</c:v>
                </c:pt>
                <c:pt idx="1">
                  <c:v>355</c:v>
                </c:pt>
                <c:pt idx="2">
                  <c:v>345</c:v>
                </c:pt>
                <c:pt idx="3">
                  <c:v>335</c:v>
                </c:pt>
                <c:pt idx="4">
                  <c:v>325</c:v>
                </c:pt>
                <c:pt idx="5">
                  <c:v>315</c:v>
                </c:pt>
                <c:pt idx="6">
                  <c:v>340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670-4FBA-954A-9EE196C54DC7}"/>
            </c:ext>
          </c:extLst>
        </c:ser>
        <c:ser>
          <c:idx val="2"/>
          <c:order val="2"/>
          <c:tx>
            <c:v>série 3</c:v>
          </c:tx>
          <c:spPr>
            <a:ln>
              <a:solidFill>
                <a:schemeClr val="tx1"/>
              </a:solidFill>
            </a:ln>
          </c:spPr>
          <c:marker>
            <c:symbol val="circle"/>
            <c:size val="2"/>
            <c:spPr>
              <a:noFill/>
              <a:ln>
                <a:noFill/>
              </a:ln>
            </c:spPr>
          </c:marker>
          <c:xVal>
            <c:numRef>
              <c:f>'Capsule 2'!$A$15:$A$21</c:f>
              <c:numCache>
                <c:formatCode>General</c:formatCode>
                <c:ptCount val="7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</c:numCache>
            </c:numRef>
          </c:xVal>
          <c:yVal>
            <c:numRef>
              <c:f>'Capsule 2'!$B$15:$B$21</c:f>
              <c:numCache>
                <c:formatCode>General</c:formatCode>
                <c:ptCount val="7"/>
                <c:pt idx="0">
                  <c:v>310</c:v>
                </c:pt>
                <c:pt idx="1">
                  <c:v>300</c:v>
                </c:pt>
                <c:pt idx="2">
                  <c:v>290</c:v>
                </c:pt>
                <c:pt idx="3">
                  <c:v>280</c:v>
                </c:pt>
                <c:pt idx="4">
                  <c:v>270</c:v>
                </c:pt>
                <c:pt idx="5">
                  <c:v>260</c:v>
                </c:pt>
                <c:pt idx="6">
                  <c:v>285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670-4FBA-954A-9EE196C54DC7}"/>
            </c:ext>
          </c:extLst>
        </c:ser>
        <c:ser>
          <c:idx val="3"/>
          <c:order val="3"/>
          <c:tx>
            <c:v>série 4</c:v>
          </c:tx>
          <c:spPr>
            <a:ln>
              <a:solidFill>
                <a:schemeClr val="tx1"/>
              </a:solidFill>
            </a:ln>
          </c:spPr>
          <c:marker>
            <c:symbol val="circle"/>
            <c:size val="2"/>
            <c:spPr>
              <a:noFill/>
              <a:ln>
                <a:noFill/>
              </a:ln>
            </c:spPr>
          </c:marker>
          <c:xVal>
            <c:numRef>
              <c:f>'Capsule 2'!$A$22:$A$28</c:f>
              <c:numCache>
                <c:formatCode>General</c:formatCode>
                <c:ptCount val="7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27</c:v>
                </c:pt>
              </c:numCache>
            </c:numRef>
          </c:xVal>
          <c:yVal>
            <c:numRef>
              <c:f>'Capsule 2'!$B$22:$B$28</c:f>
              <c:numCache>
                <c:formatCode>General</c:formatCode>
                <c:ptCount val="7"/>
                <c:pt idx="0">
                  <c:v>255</c:v>
                </c:pt>
                <c:pt idx="1">
                  <c:v>245</c:v>
                </c:pt>
                <c:pt idx="2">
                  <c:v>235</c:v>
                </c:pt>
                <c:pt idx="3">
                  <c:v>225</c:v>
                </c:pt>
                <c:pt idx="4">
                  <c:v>215</c:v>
                </c:pt>
                <c:pt idx="5">
                  <c:v>205</c:v>
                </c:pt>
                <c:pt idx="6">
                  <c:v>230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B670-4FBA-954A-9EE196C54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1493760"/>
        <c:axId val="197935104"/>
      </c:scatterChart>
      <c:valAx>
        <c:axId val="16149376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fr-CA"/>
                  <a:t>Nombre de jours écoulés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97935104"/>
        <c:crosses val="autoZero"/>
        <c:crossBetween val="midCat"/>
      </c:valAx>
      <c:valAx>
        <c:axId val="19793510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Nombre de clients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6149376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Nombre de clients dans un dépanneur selon les jours 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circle"/>
            <c:size val="2"/>
            <c:spPr>
              <a:noFill/>
              <a:ln>
                <a:noFill/>
              </a:ln>
            </c:spPr>
          </c:marker>
          <c:dPt>
            <c:idx val="2"/>
            <c:marker>
              <c:symbol val="circle"/>
              <c:size val="5"/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35DD-4E87-8DCB-20A5E6260339}"/>
              </c:ext>
            </c:extLst>
          </c:dPt>
          <c:xVal>
            <c:numRef>
              <c:f>'Capsule 2'!$A$1:$A$7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'Capsule 2'!$B$1:$B$7</c:f>
              <c:numCache>
                <c:formatCode>General</c:formatCode>
                <c:ptCount val="7"/>
                <c:pt idx="0">
                  <c:v>420</c:v>
                </c:pt>
                <c:pt idx="1">
                  <c:v>410</c:v>
                </c:pt>
                <c:pt idx="2">
                  <c:v>400</c:v>
                </c:pt>
                <c:pt idx="3">
                  <c:v>390</c:v>
                </c:pt>
                <c:pt idx="4">
                  <c:v>380</c:v>
                </c:pt>
                <c:pt idx="5">
                  <c:v>370</c:v>
                </c:pt>
                <c:pt idx="6">
                  <c:v>395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5DD-4E87-8DCB-20A5E6260339}"/>
            </c:ext>
          </c:extLst>
        </c:ser>
        <c:ser>
          <c:idx val="1"/>
          <c:order val="1"/>
          <c:tx>
            <c:v>série 2</c:v>
          </c:tx>
          <c:spPr>
            <a:ln>
              <a:solidFill>
                <a:schemeClr val="tx1"/>
              </a:solidFill>
            </a:ln>
          </c:spPr>
          <c:marker>
            <c:symbol val="circle"/>
            <c:size val="2"/>
            <c:spPr>
              <a:noFill/>
              <a:ln>
                <a:noFill/>
              </a:ln>
            </c:spPr>
          </c:marker>
          <c:dPt>
            <c:idx val="2"/>
            <c:marker>
              <c:symbol val="circle"/>
              <c:size val="5"/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35DD-4E87-8DCB-20A5E6260339}"/>
              </c:ext>
            </c:extLst>
          </c:dPt>
          <c:xVal>
            <c:numRef>
              <c:f>'Capsule 2'!$A$8:$A$14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13</c:v>
                </c:pt>
              </c:numCache>
            </c:numRef>
          </c:xVal>
          <c:yVal>
            <c:numRef>
              <c:f>'Capsule 2'!$B$8:$B$14</c:f>
              <c:numCache>
                <c:formatCode>General</c:formatCode>
                <c:ptCount val="7"/>
                <c:pt idx="0">
                  <c:v>365</c:v>
                </c:pt>
                <c:pt idx="1">
                  <c:v>355</c:v>
                </c:pt>
                <c:pt idx="2">
                  <c:v>345</c:v>
                </c:pt>
                <c:pt idx="3">
                  <c:v>335</c:v>
                </c:pt>
                <c:pt idx="4">
                  <c:v>325</c:v>
                </c:pt>
                <c:pt idx="5">
                  <c:v>315</c:v>
                </c:pt>
                <c:pt idx="6">
                  <c:v>340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5DD-4E87-8DCB-20A5E6260339}"/>
            </c:ext>
          </c:extLst>
        </c:ser>
        <c:ser>
          <c:idx val="2"/>
          <c:order val="2"/>
          <c:tx>
            <c:v>série 3</c:v>
          </c:tx>
          <c:spPr>
            <a:ln>
              <a:solidFill>
                <a:schemeClr val="tx1"/>
              </a:solidFill>
            </a:ln>
          </c:spPr>
          <c:marker>
            <c:symbol val="circle"/>
            <c:size val="2"/>
            <c:spPr>
              <a:noFill/>
              <a:ln>
                <a:noFill/>
              </a:ln>
            </c:spPr>
          </c:marker>
          <c:dPt>
            <c:idx val="2"/>
            <c:marker>
              <c:symbol val="circle"/>
              <c:size val="5"/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35DD-4E87-8DCB-20A5E6260339}"/>
              </c:ext>
            </c:extLst>
          </c:dPt>
          <c:xVal>
            <c:numRef>
              <c:f>'Capsule 2'!$A$15:$A$21</c:f>
              <c:numCache>
                <c:formatCode>General</c:formatCode>
                <c:ptCount val="7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</c:numCache>
            </c:numRef>
          </c:xVal>
          <c:yVal>
            <c:numRef>
              <c:f>'Capsule 2'!$B$15:$B$21</c:f>
              <c:numCache>
                <c:formatCode>General</c:formatCode>
                <c:ptCount val="7"/>
                <c:pt idx="0">
                  <c:v>310</c:v>
                </c:pt>
                <c:pt idx="1">
                  <c:v>300</c:v>
                </c:pt>
                <c:pt idx="2">
                  <c:v>290</c:v>
                </c:pt>
                <c:pt idx="3">
                  <c:v>280</c:v>
                </c:pt>
                <c:pt idx="4">
                  <c:v>270</c:v>
                </c:pt>
                <c:pt idx="5">
                  <c:v>260</c:v>
                </c:pt>
                <c:pt idx="6">
                  <c:v>285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35DD-4E87-8DCB-20A5E6260339}"/>
            </c:ext>
          </c:extLst>
        </c:ser>
        <c:ser>
          <c:idx val="3"/>
          <c:order val="3"/>
          <c:tx>
            <c:v>série 4</c:v>
          </c:tx>
          <c:spPr>
            <a:ln>
              <a:solidFill>
                <a:schemeClr val="tx1"/>
              </a:solidFill>
            </a:ln>
          </c:spPr>
          <c:marker>
            <c:symbol val="circle"/>
            <c:size val="2"/>
            <c:spPr>
              <a:noFill/>
              <a:ln>
                <a:noFill/>
              </a:ln>
            </c:spPr>
          </c:marker>
          <c:dPt>
            <c:idx val="2"/>
            <c:marker>
              <c:symbol val="circle"/>
              <c:size val="5"/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35DD-4E87-8DCB-20A5E6260339}"/>
              </c:ext>
            </c:extLst>
          </c:dPt>
          <c:xVal>
            <c:numRef>
              <c:f>'Capsule 2'!$A$22:$A$28</c:f>
              <c:numCache>
                <c:formatCode>General</c:formatCode>
                <c:ptCount val="7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27</c:v>
                </c:pt>
              </c:numCache>
            </c:numRef>
          </c:xVal>
          <c:yVal>
            <c:numRef>
              <c:f>'Capsule 2'!$B$22:$B$28</c:f>
              <c:numCache>
                <c:formatCode>General</c:formatCode>
                <c:ptCount val="7"/>
                <c:pt idx="0">
                  <c:v>255</c:v>
                </c:pt>
                <c:pt idx="1">
                  <c:v>245</c:v>
                </c:pt>
                <c:pt idx="2">
                  <c:v>235</c:v>
                </c:pt>
                <c:pt idx="3">
                  <c:v>225</c:v>
                </c:pt>
                <c:pt idx="4">
                  <c:v>215</c:v>
                </c:pt>
                <c:pt idx="5">
                  <c:v>205</c:v>
                </c:pt>
                <c:pt idx="6">
                  <c:v>230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35DD-4E87-8DCB-20A5E62603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492608"/>
        <c:axId val="207494528"/>
      </c:scatterChart>
      <c:valAx>
        <c:axId val="20749260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fr-CA"/>
                  <a:t>Nombre de jours écoulés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7494528"/>
        <c:crosses val="autoZero"/>
        <c:crossBetween val="midCat"/>
      </c:valAx>
      <c:valAx>
        <c:axId val="20749452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Nombre de clients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749260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0.12058</cdr:x>
      <cdr:y>0.17633</cdr:y>
    </cdr:from>
    <cdr:to>
      <cdr:x>0.96645</cdr:x>
      <cdr:y>0.54589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668655" y="618066"/>
          <a:ext cx="4690745" cy="1295400"/>
        </a:xfrm>
        <a:prstGeom xmlns:a="http://schemas.openxmlformats.org/drawingml/2006/main" prst="line">
          <a:avLst/>
        </a:prstGeom>
        <a:ln xmlns:a="http://schemas.openxmlformats.org/drawingml/2006/main" w="12700">
          <a:prstDash val="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0.18016</cdr:x>
      <cdr:y>0.13768</cdr:y>
    </cdr:from>
    <cdr:to>
      <cdr:x>0.42902</cdr:x>
      <cdr:y>0.28019</cdr:y>
    </cdr:to>
    <cdr:grpSp>
      <cdr:nvGrpSpPr>
        <cdr:cNvPr id="9" name="Group 8"/>
        <cdr:cNvGrpSpPr/>
      </cdr:nvGrpSpPr>
      <cdr:grpSpPr>
        <a:xfrm xmlns:a="http://schemas.openxmlformats.org/drawingml/2006/main">
          <a:off x="999067" y="482601"/>
          <a:ext cx="1380066" cy="499533"/>
          <a:chOff x="999067" y="482601"/>
          <a:chExt cx="1380066" cy="499533"/>
        </a:xfrm>
      </cdr:grpSpPr>
      <cdr:cxnSp macro="">
        <cdr:nvCxnSpPr>
          <cdr:cNvPr id="2" name="Straight Arrow Connector 1"/>
          <cdr:cNvCxnSpPr/>
        </cdr:nvCxnSpPr>
        <cdr:spPr>
          <a:xfrm xmlns:a="http://schemas.openxmlformats.org/drawingml/2006/main">
            <a:off x="999067" y="694268"/>
            <a:ext cx="1058333" cy="8466"/>
          </a:xfrm>
          <a:prstGeom xmlns:a="http://schemas.openxmlformats.org/drawingml/2006/main" prst="straightConnector1">
            <a:avLst/>
          </a:prstGeom>
          <a:ln xmlns:a="http://schemas.openxmlformats.org/drawingml/2006/main" w="12700">
            <a:prstDash val="dash"/>
            <a:tailEnd type="arrow"/>
          </a:ln>
        </cdr:spPr>
        <cdr:style>
          <a:lnRef xmlns:a="http://schemas.openxmlformats.org/drawingml/2006/main" idx="1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0">
            <a:schemeClr val="dk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6" name="Straight Arrow Connector 5"/>
          <cdr:cNvCxnSpPr/>
        </cdr:nvCxnSpPr>
        <cdr:spPr>
          <a:xfrm xmlns:a="http://schemas.openxmlformats.org/drawingml/2006/main">
            <a:off x="2057400" y="702734"/>
            <a:ext cx="8467" cy="279400"/>
          </a:xfrm>
          <a:prstGeom xmlns:a="http://schemas.openxmlformats.org/drawingml/2006/main" prst="straightConnector1">
            <a:avLst/>
          </a:prstGeom>
          <a:ln xmlns:a="http://schemas.openxmlformats.org/drawingml/2006/main" w="12700">
            <a:prstDash val="dash"/>
            <a:tailEnd type="arrow"/>
          </a:ln>
        </cdr:spPr>
        <cdr:style>
          <a:lnRef xmlns:a="http://schemas.openxmlformats.org/drawingml/2006/main" idx="1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0">
            <a:schemeClr val="dk1"/>
          </a:effectRef>
          <a:fontRef xmlns:a="http://schemas.openxmlformats.org/drawingml/2006/main" idx="minor">
            <a:schemeClr val="tx1"/>
          </a:fontRef>
        </cdr:style>
      </cdr:cxnSp>
      <cdr:sp macro="" textlink="">
        <cdr:nvSpPr>
          <cdr:cNvPr id="7" name="Text Box 6"/>
          <cdr:cNvSpPr txBox="1"/>
        </cdr:nvSpPr>
        <cdr:spPr>
          <a:xfrm xmlns:a="http://schemas.openxmlformats.org/drawingml/2006/main">
            <a:off x="1498600" y="482601"/>
            <a:ext cx="355600" cy="228600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vertOverflow="clip" wrap="square" rtlCol="0"/>
          <a:lstStyle xmlns:a="http://schemas.openxmlformats.org/drawingml/2006/main"/>
          <a:p xmlns:a="http://schemas.openxmlformats.org/drawingml/2006/main">
            <a:r>
              <a:rPr lang="fr-CA" sz="1100"/>
              <a:t>+7</a:t>
            </a:r>
          </a:p>
        </cdr:txBody>
      </cdr:sp>
      <cdr:sp macro="" textlink="">
        <cdr:nvSpPr>
          <cdr:cNvPr id="8" name="Text Box 7"/>
          <cdr:cNvSpPr txBox="1"/>
        </cdr:nvSpPr>
        <cdr:spPr>
          <a:xfrm xmlns:a="http://schemas.openxmlformats.org/drawingml/2006/main">
            <a:off x="2006599" y="711199"/>
            <a:ext cx="372534" cy="262468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vertOverflow="clip" wrap="square" rtlCol="0"/>
          <a:lstStyle xmlns:a="http://schemas.openxmlformats.org/drawingml/2006/main"/>
          <a:p xmlns:a="http://schemas.openxmlformats.org/drawingml/2006/main">
            <a:r>
              <a:rPr lang="fr-CA" sz="1100"/>
              <a:t>-55</a:t>
            </a:r>
          </a:p>
        </cdr:txBody>
      </cdr:sp>
    </cdr:grp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Gilles</cp:lastModifiedBy>
  <cp:revision>3</cp:revision>
  <cp:lastPrinted>2003-02-16T23:00:00Z</cp:lastPrinted>
  <dcterms:created xsi:type="dcterms:W3CDTF">2017-06-07T19:35:00Z</dcterms:created>
  <dcterms:modified xsi:type="dcterms:W3CDTF">2017-08-16T14:25:00Z</dcterms:modified>
</cp:coreProperties>
</file>